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7302F" w:rsidRPr="00DC6B88" w:rsidTr="00C12EC6">
        <w:trPr>
          <w:trHeight w:val="699"/>
          <w:jc w:val="center"/>
        </w:trPr>
        <w:tc>
          <w:tcPr>
            <w:tcW w:w="4248" w:type="dxa"/>
            <w:vAlign w:val="center"/>
          </w:tcPr>
          <w:p w:rsidR="0087302F" w:rsidRPr="00DC6B88" w:rsidRDefault="0087302F" w:rsidP="00C12EC6">
            <w:pPr>
              <w:jc w:val="center"/>
              <w:rPr>
                <w:sz w:val="24"/>
                <w:szCs w:val="24"/>
              </w:rPr>
            </w:pPr>
            <w:r w:rsidRPr="00DC6B88">
              <w:rPr>
                <w:sz w:val="24"/>
                <w:szCs w:val="24"/>
              </w:rPr>
              <w:t>ỦY BAN NHÂN DÂN QUẬN 7</w:t>
            </w:r>
          </w:p>
          <w:p w:rsidR="0087302F" w:rsidRPr="00DC6B88" w:rsidRDefault="0087302F" w:rsidP="00C12EC6">
            <w:pPr>
              <w:jc w:val="center"/>
              <w:rPr>
                <w:b/>
                <w:sz w:val="24"/>
                <w:szCs w:val="24"/>
              </w:rPr>
            </w:pPr>
            <w:r w:rsidRPr="00DC6B88">
              <w:rPr>
                <w:b/>
                <w:noProof/>
                <w:sz w:val="24"/>
                <w:szCs w:val="24"/>
              </w:rPr>
              <mc:AlternateContent>
                <mc:Choice Requires="wps">
                  <w:drawing>
                    <wp:anchor distT="0" distB="0" distL="114300" distR="114300" simplePos="0" relativeHeight="251659264" behindDoc="0" locked="0" layoutInCell="1" allowOverlap="1" wp14:anchorId="453670F1" wp14:editId="5497B746">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AE94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DC6B88">
              <w:rPr>
                <w:b/>
                <w:sz w:val="24"/>
                <w:szCs w:val="24"/>
              </w:rPr>
              <w:t>PHÒNG GIÁO DỤC VÀ ĐÀO TẠO</w:t>
            </w:r>
          </w:p>
        </w:tc>
        <w:tc>
          <w:tcPr>
            <w:tcW w:w="5245" w:type="dxa"/>
            <w:vAlign w:val="center"/>
          </w:tcPr>
          <w:p w:rsidR="0087302F" w:rsidRPr="00DC6B88" w:rsidRDefault="0087302F" w:rsidP="00C12EC6">
            <w:pPr>
              <w:jc w:val="center"/>
              <w:rPr>
                <w:b/>
                <w:sz w:val="24"/>
                <w:szCs w:val="24"/>
              </w:rPr>
            </w:pPr>
            <w:r w:rsidRPr="00DC6B88">
              <w:rPr>
                <w:b/>
                <w:sz w:val="24"/>
                <w:szCs w:val="24"/>
              </w:rPr>
              <w:t>CỘNG HÒA XÃ HỘI CHỦ NGHĨA VIỆT NAM</w:t>
            </w:r>
          </w:p>
          <w:p w:rsidR="0087302F" w:rsidRPr="00DC6B88" w:rsidRDefault="0087302F" w:rsidP="00C12EC6">
            <w:pPr>
              <w:jc w:val="center"/>
              <w:rPr>
                <w:b/>
                <w:sz w:val="24"/>
                <w:szCs w:val="24"/>
              </w:rPr>
            </w:pPr>
            <w:r w:rsidRPr="00DC6B88">
              <w:rPr>
                <w:b/>
                <w:noProof/>
                <w:sz w:val="24"/>
                <w:szCs w:val="24"/>
              </w:rPr>
              <mc:AlternateContent>
                <mc:Choice Requires="wps">
                  <w:drawing>
                    <wp:anchor distT="0" distB="0" distL="114300" distR="114300" simplePos="0" relativeHeight="251660288" behindDoc="0" locked="0" layoutInCell="1" allowOverlap="1" wp14:anchorId="5B5EDD95" wp14:editId="61677F35">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893D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DC6B88">
              <w:rPr>
                <w:b/>
                <w:sz w:val="24"/>
                <w:szCs w:val="24"/>
              </w:rPr>
              <w:t>Độc lập – Tự do – Hạnh phúc</w:t>
            </w:r>
          </w:p>
        </w:tc>
      </w:tr>
      <w:tr w:rsidR="0087302F" w:rsidRPr="00DC6B88" w:rsidTr="00C12EC6">
        <w:trPr>
          <w:jc w:val="center"/>
        </w:trPr>
        <w:tc>
          <w:tcPr>
            <w:tcW w:w="4248" w:type="dxa"/>
            <w:vAlign w:val="center"/>
          </w:tcPr>
          <w:p w:rsidR="0087302F" w:rsidRPr="00DC6B88" w:rsidRDefault="0087302F" w:rsidP="00C12EC6">
            <w:pPr>
              <w:jc w:val="center"/>
              <w:rPr>
                <w:sz w:val="24"/>
                <w:szCs w:val="24"/>
              </w:rPr>
            </w:pPr>
            <w:r w:rsidRPr="00DC6B88">
              <w:rPr>
                <w:sz w:val="24"/>
                <w:szCs w:val="24"/>
              </w:rPr>
              <w:t xml:space="preserve">Số:   </w:t>
            </w:r>
            <w:r w:rsidR="000A2971">
              <w:rPr>
                <w:sz w:val="24"/>
                <w:szCs w:val="24"/>
              </w:rPr>
              <w:t>1012</w:t>
            </w:r>
            <w:r w:rsidRPr="00DC6B88">
              <w:rPr>
                <w:sz w:val="24"/>
                <w:szCs w:val="24"/>
              </w:rPr>
              <w:t>/GDĐT-THCS</w:t>
            </w:r>
          </w:p>
          <w:p w:rsidR="00977453" w:rsidRDefault="0087302F" w:rsidP="00965B19">
            <w:pPr>
              <w:jc w:val="center"/>
              <w:rPr>
                <w:sz w:val="24"/>
                <w:szCs w:val="24"/>
              </w:rPr>
            </w:pPr>
            <w:r w:rsidRPr="00DC6B88">
              <w:rPr>
                <w:sz w:val="24"/>
                <w:szCs w:val="24"/>
              </w:rPr>
              <w:t>V/v</w:t>
            </w:r>
            <w:r w:rsidR="00CF50E9">
              <w:rPr>
                <w:sz w:val="24"/>
                <w:szCs w:val="24"/>
              </w:rPr>
              <w:t xml:space="preserve"> hướng dẫn tổ chức dạ</w:t>
            </w:r>
            <w:r w:rsidR="004B7DAD">
              <w:rPr>
                <w:sz w:val="24"/>
                <w:szCs w:val="24"/>
              </w:rPr>
              <w:t>y n</w:t>
            </w:r>
            <w:r w:rsidR="00CF50E9">
              <w:rPr>
                <w:sz w:val="24"/>
                <w:szCs w:val="24"/>
              </w:rPr>
              <w:t>ghề</w:t>
            </w:r>
            <w:r w:rsidR="00977453">
              <w:rPr>
                <w:sz w:val="24"/>
                <w:szCs w:val="24"/>
              </w:rPr>
              <w:t xml:space="preserve"> </w:t>
            </w:r>
          </w:p>
          <w:p w:rsidR="00977453" w:rsidRDefault="00977453" w:rsidP="00965B19">
            <w:pPr>
              <w:jc w:val="center"/>
              <w:rPr>
                <w:sz w:val="24"/>
                <w:szCs w:val="24"/>
              </w:rPr>
            </w:pPr>
            <w:r>
              <w:rPr>
                <w:sz w:val="24"/>
                <w:szCs w:val="24"/>
              </w:rPr>
              <w:t>phổ thông</w:t>
            </w:r>
            <w:r w:rsidR="00CF50E9">
              <w:rPr>
                <w:sz w:val="24"/>
                <w:szCs w:val="24"/>
              </w:rPr>
              <w:t xml:space="preserve">, </w:t>
            </w:r>
            <w:r w:rsidR="00965B19">
              <w:rPr>
                <w:sz w:val="24"/>
                <w:szCs w:val="24"/>
              </w:rPr>
              <w:t>giáo dục</w:t>
            </w:r>
            <w:r>
              <w:rPr>
                <w:sz w:val="24"/>
                <w:szCs w:val="24"/>
              </w:rPr>
              <w:t xml:space="preserve"> h</w:t>
            </w:r>
            <w:r w:rsidR="00CF50E9">
              <w:rPr>
                <w:sz w:val="24"/>
                <w:szCs w:val="24"/>
              </w:rPr>
              <w:t xml:space="preserve">ướng nghiệp </w:t>
            </w:r>
          </w:p>
          <w:p w:rsidR="00425A53" w:rsidRPr="00DC6B88" w:rsidRDefault="00CF50E9" w:rsidP="00965B19">
            <w:pPr>
              <w:jc w:val="center"/>
              <w:rPr>
                <w:sz w:val="24"/>
                <w:szCs w:val="24"/>
              </w:rPr>
            </w:pPr>
            <w:r>
              <w:rPr>
                <w:sz w:val="24"/>
                <w:szCs w:val="24"/>
              </w:rPr>
              <w:t>năm học 2022-2023</w:t>
            </w:r>
          </w:p>
        </w:tc>
        <w:tc>
          <w:tcPr>
            <w:tcW w:w="5245" w:type="dxa"/>
          </w:tcPr>
          <w:p w:rsidR="0087302F" w:rsidRPr="00DC6B88" w:rsidRDefault="0087302F" w:rsidP="00085660">
            <w:pPr>
              <w:jc w:val="center"/>
              <w:rPr>
                <w:i/>
                <w:sz w:val="24"/>
                <w:szCs w:val="24"/>
              </w:rPr>
            </w:pPr>
            <w:r w:rsidRPr="00DC6B88">
              <w:rPr>
                <w:i/>
                <w:sz w:val="24"/>
                <w:szCs w:val="24"/>
              </w:rPr>
              <w:t xml:space="preserve">Quận 7, ngày   </w:t>
            </w:r>
            <w:r w:rsidR="000A2971">
              <w:rPr>
                <w:i/>
                <w:sz w:val="24"/>
                <w:szCs w:val="24"/>
              </w:rPr>
              <w:t>19</w:t>
            </w:r>
            <w:r w:rsidRPr="00DC6B88">
              <w:rPr>
                <w:i/>
                <w:sz w:val="24"/>
                <w:szCs w:val="24"/>
              </w:rPr>
              <w:t xml:space="preserve">      tháng    </w:t>
            </w:r>
            <w:r w:rsidR="000A2971">
              <w:rPr>
                <w:i/>
                <w:sz w:val="24"/>
                <w:szCs w:val="24"/>
              </w:rPr>
              <w:t>9</w:t>
            </w:r>
            <w:r w:rsidRPr="00DC6B88">
              <w:rPr>
                <w:i/>
                <w:sz w:val="24"/>
                <w:szCs w:val="24"/>
              </w:rPr>
              <w:t xml:space="preserve">    năm 202</w:t>
            </w:r>
            <w:r w:rsidR="00085660" w:rsidRPr="00DC6B88">
              <w:rPr>
                <w:i/>
                <w:sz w:val="24"/>
                <w:szCs w:val="24"/>
              </w:rPr>
              <w:t>2</w:t>
            </w:r>
            <w:r w:rsidRPr="00DC6B88">
              <w:rPr>
                <w:i/>
                <w:sz w:val="24"/>
                <w:szCs w:val="24"/>
              </w:rPr>
              <w:t xml:space="preserve"> </w:t>
            </w:r>
          </w:p>
        </w:tc>
      </w:tr>
    </w:tbl>
    <w:p w:rsidR="00425A53" w:rsidRDefault="0087302F" w:rsidP="0087302F">
      <w:pPr>
        <w:rPr>
          <w:sz w:val="26"/>
          <w:szCs w:val="26"/>
        </w:rPr>
      </w:pPr>
      <w:r w:rsidRPr="00DC6B88">
        <w:rPr>
          <w:sz w:val="26"/>
          <w:szCs w:val="26"/>
        </w:rPr>
        <w:tab/>
      </w:r>
      <w:r w:rsidRPr="00DC6B88">
        <w:rPr>
          <w:sz w:val="26"/>
          <w:szCs w:val="26"/>
        </w:rPr>
        <w:tab/>
      </w:r>
      <w:r w:rsidRPr="00DC6B88">
        <w:rPr>
          <w:sz w:val="26"/>
          <w:szCs w:val="26"/>
        </w:rPr>
        <w:tab/>
      </w:r>
    </w:p>
    <w:p w:rsidR="0087302F" w:rsidRPr="007938F8" w:rsidRDefault="0087302F" w:rsidP="00425A53">
      <w:pPr>
        <w:jc w:val="center"/>
      </w:pPr>
      <w:r w:rsidRPr="007938F8">
        <w:t xml:space="preserve">Kính gửi: </w:t>
      </w:r>
      <w:r w:rsidR="00425A53">
        <w:t>Hiệu trưởng trường THCS (CL&amp;NCL)</w:t>
      </w:r>
      <w:r w:rsidR="000228EA" w:rsidRPr="007938F8">
        <w:t>.</w:t>
      </w:r>
    </w:p>
    <w:p w:rsidR="0087302F" w:rsidRPr="007938F8" w:rsidRDefault="0087302F" w:rsidP="0087302F">
      <w:pPr>
        <w:jc w:val="both"/>
      </w:pPr>
    </w:p>
    <w:p w:rsidR="0087302F" w:rsidRPr="007938F8" w:rsidRDefault="0087302F" w:rsidP="0087302F">
      <w:pPr>
        <w:spacing w:line="288" w:lineRule="auto"/>
        <w:jc w:val="both"/>
        <w:rPr>
          <w:i/>
          <w:lang w:val="vi-VN" w:eastAsia="vi-VN" w:bidi="vi-VN"/>
        </w:rPr>
      </w:pPr>
      <w:r w:rsidRPr="007938F8">
        <w:rPr>
          <w:i/>
        </w:rPr>
        <w:tab/>
      </w:r>
      <w:r w:rsidRPr="007938F8">
        <w:rPr>
          <w:i/>
          <w:lang w:val="vi-VN" w:eastAsia="vi-VN" w:bidi="vi-VN"/>
        </w:rPr>
        <w:t xml:space="preserve">Căn cứ </w:t>
      </w:r>
      <w:r w:rsidR="00CF50E9">
        <w:rPr>
          <w:i/>
          <w:lang w:eastAsia="vi-VN" w:bidi="vi-VN"/>
        </w:rPr>
        <w:t>Kế hoạch số 991</w:t>
      </w:r>
      <w:r w:rsidR="00425A53">
        <w:rPr>
          <w:i/>
          <w:lang w:eastAsia="vi-VN" w:bidi="vi-VN"/>
        </w:rPr>
        <w:t>/</w:t>
      </w:r>
      <w:r w:rsidR="00CF50E9">
        <w:rPr>
          <w:i/>
          <w:lang w:eastAsia="vi-VN" w:bidi="vi-VN"/>
        </w:rPr>
        <w:t>KH-GDĐT</w:t>
      </w:r>
      <w:r w:rsidRPr="007938F8">
        <w:rPr>
          <w:i/>
          <w:lang w:val="vi-VN" w:eastAsia="vi-VN" w:bidi="vi-VN"/>
        </w:rPr>
        <w:t xml:space="preserve"> ngày</w:t>
      </w:r>
      <w:r w:rsidR="00CF50E9">
        <w:rPr>
          <w:i/>
          <w:lang w:eastAsia="vi-VN" w:bidi="vi-VN"/>
        </w:rPr>
        <w:t xml:space="preserve"> 16</w:t>
      </w:r>
      <w:r w:rsidRPr="007938F8">
        <w:rPr>
          <w:i/>
          <w:lang w:val="vi-VN" w:eastAsia="vi-VN" w:bidi="vi-VN"/>
        </w:rPr>
        <w:t xml:space="preserve"> tháng </w:t>
      </w:r>
      <w:r w:rsidR="00CF50E9">
        <w:rPr>
          <w:i/>
          <w:lang w:eastAsia="vi-VN" w:bidi="vi-VN"/>
        </w:rPr>
        <w:t xml:space="preserve">9 </w:t>
      </w:r>
      <w:r w:rsidRPr="007938F8">
        <w:rPr>
          <w:i/>
          <w:lang w:val="vi-VN" w:eastAsia="vi-VN" w:bidi="vi-VN"/>
        </w:rPr>
        <w:t>năm 202</w:t>
      </w:r>
      <w:r w:rsidR="000228EA" w:rsidRPr="007938F8">
        <w:rPr>
          <w:i/>
          <w:lang w:eastAsia="vi-VN" w:bidi="vi-VN"/>
        </w:rPr>
        <w:t>2</w:t>
      </w:r>
      <w:r w:rsidRPr="007938F8">
        <w:rPr>
          <w:i/>
          <w:lang w:val="vi-VN" w:eastAsia="vi-VN" w:bidi="vi-VN"/>
        </w:rPr>
        <w:t xml:space="preserve"> của </w:t>
      </w:r>
      <w:r w:rsidR="00094DC5">
        <w:rPr>
          <w:i/>
          <w:lang w:eastAsia="vi-VN" w:bidi="vi-VN"/>
        </w:rPr>
        <w:t>Phòng</w:t>
      </w:r>
      <w:r w:rsidRPr="007938F8">
        <w:rPr>
          <w:i/>
          <w:lang w:eastAsia="vi-VN" w:bidi="vi-VN"/>
        </w:rPr>
        <w:t xml:space="preserve"> </w:t>
      </w:r>
      <w:r w:rsidRPr="007938F8">
        <w:rPr>
          <w:i/>
          <w:lang w:val="vi-VN" w:eastAsia="vi-VN" w:bidi="vi-VN"/>
        </w:rPr>
        <w:t xml:space="preserve">Giáo dục và Đào tạo </w:t>
      </w:r>
      <w:r w:rsidR="00425A53">
        <w:rPr>
          <w:i/>
          <w:lang w:eastAsia="vi-VN" w:bidi="vi-VN"/>
        </w:rPr>
        <w:t>về</w:t>
      </w:r>
      <w:r w:rsidR="00CF50E9">
        <w:rPr>
          <w:i/>
          <w:lang w:eastAsia="vi-VN" w:bidi="vi-VN"/>
        </w:rPr>
        <w:t xml:space="preserve"> thực hiện nhiệm vụ chuyên môn bậc trung học cơ sở năm học 2022-2023.</w:t>
      </w:r>
      <w:r w:rsidR="000228EA" w:rsidRPr="007938F8">
        <w:rPr>
          <w:i/>
          <w:lang w:val="vi-VN" w:eastAsia="vi-VN" w:bidi="vi-VN"/>
        </w:rPr>
        <w:t xml:space="preserve"> </w:t>
      </w:r>
    </w:p>
    <w:p w:rsidR="0087302F" w:rsidRDefault="0087302F" w:rsidP="0087302F">
      <w:pPr>
        <w:spacing w:line="288" w:lineRule="auto"/>
        <w:jc w:val="both"/>
        <w:rPr>
          <w:color w:val="000000"/>
          <w:shd w:val="clear" w:color="auto" w:fill="FFFFFF"/>
        </w:rPr>
      </w:pPr>
      <w:r w:rsidRPr="007938F8">
        <w:rPr>
          <w:i/>
        </w:rPr>
        <w:tab/>
      </w:r>
      <w:r w:rsidRPr="007938F8">
        <w:rPr>
          <w:color w:val="000000"/>
          <w:shd w:val="clear" w:color="auto" w:fill="FFFFFF"/>
        </w:rPr>
        <w:t xml:space="preserve">Phòng Giáo dục và Đào tạo (GDĐT) </w:t>
      </w:r>
      <w:r w:rsidR="00CD17B1">
        <w:rPr>
          <w:lang w:eastAsia="vi-VN" w:bidi="vi-VN"/>
        </w:rPr>
        <w:t>hướng</w:t>
      </w:r>
      <w:r w:rsidR="00CF50E9">
        <w:rPr>
          <w:lang w:eastAsia="vi-VN" w:bidi="vi-VN"/>
        </w:rPr>
        <w:t xml:space="preserve"> dẫn </w:t>
      </w:r>
      <w:r w:rsidR="00425A53">
        <w:rPr>
          <w:lang w:eastAsia="vi-VN" w:bidi="vi-VN"/>
        </w:rPr>
        <w:t>hiệu trưởng</w:t>
      </w:r>
      <w:r w:rsidR="0087375B" w:rsidRPr="007938F8">
        <w:rPr>
          <w:lang w:eastAsia="vi-VN" w:bidi="vi-VN"/>
        </w:rPr>
        <w:t xml:space="preserve"> </w:t>
      </w:r>
      <w:r w:rsidR="00CF50E9">
        <w:rPr>
          <w:lang w:eastAsia="vi-VN" w:bidi="vi-VN"/>
        </w:rPr>
        <w:t>tổ chức dạ</w:t>
      </w:r>
      <w:r w:rsidR="004B7DAD">
        <w:rPr>
          <w:lang w:eastAsia="vi-VN" w:bidi="vi-VN"/>
        </w:rPr>
        <w:t>y n</w:t>
      </w:r>
      <w:r w:rsidR="00CF50E9">
        <w:rPr>
          <w:lang w:eastAsia="vi-VN" w:bidi="vi-VN"/>
        </w:rPr>
        <w:t xml:space="preserve">ghề </w:t>
      </w:r>
      <w:r w:rsidR="00094DC5">
        <w:rPr>
          <w:lang w:eastAsia="vi-VN" w:bidi="vi-VN"/>
        </w:rPr>
        <w:t xml:space="preserve">phổ thông </w:t>
      </w:r>
      <w:r w:rsidR="00CF50E9">
        <w:rPr>
          <w:lang w:eastAsia="vi-VN" w:bidi="vi-VN"/>
        </w:rPr>
        <w:t xml:space="preserve">và </w:t>
      </w:r>
      <w:r w:rsidR="00965B19">
        <w:rPr>
          <w:lang w:eastAsia="vi-VN" w:bidi="vi-VN"/>
        </w:rPr>
        <w:t>giáo dục</w:t>
      </w:r>
      <w:r w:rsidR="00370166">
        <w:rPr>
          <w:lang w:eastAsia="vi-VN" w:bidi="vi-VN"/>
        </w:rPr>
        <w:t xml:space="preserve"> h</w:t>
      </w:r>
      <w:r w:rsidR="00CF50E9">
        <w:rPr>
          <w:lang w:eastAsia="vi-VN" w:bidi="vi-VN"/>
        </w:rPr>
        <w:t xml:space="preserve">ướng nghiệp với </w:t>
      </w:r>
      <w:r w:rsidR="0087375B" w:rsidRPr="007938F8">
        <w:rPr>
          <w:lang w:eastAsia="vi-VN" w:bidi="vi-VN"/>
        </w:rPr>
        <w:t xml:space="preserve">các nội dung </w:t>
      </w:r>
      <w:r w:rsidRPr="007938F8">
        <w:rPr>
          <w:color w:val="000000"/>
          <w:shd w:val="clear" w:color="auto" w:fill="FFFFFF"/>
        </w:rPr>
        <w:t>như sau:</w:t>
      </w:r>
    </w:p>
    <w:p w:rsidR="00CF50E9" w:rsidRPr="00651970" w:rsidRDefault="00CF50E9" w:rsidP="0087302F">
      <w:pPr>
        <w:spacing w:line="288" w:lineRule="auto"/>
        <w:jc w:val="both"/>
        <w:rPr>
          <w:b/>
          <w:color w:val="000000"/>
          <w:shd w:val="clear" w:color="auto" w:fill="FFFFFF"/>
        </w:rPr>
      </w:pPr>
      <w:r>
        <w:rPr>
          <w:color w:val="000000"/>
          <w:shd w:val="clear" w:color="auto" w:fill="FFFFFF"/>
        </w:rPr>
        <w:tab/>
      </w:r>
      <w:r w:rsidRPr="00651970">
        <w:rPr>
          <w:b/>
          <w:color w:val="000000"/>
          <w:shd w:val="clear" w:color="auto" w:fill="FFFFFF"/>
        </w:rPr>
        <w:t>1. Tổ chức dạ</w:t>
      </w:r>
      <w:r w:rsidR="004B7DAD" w:rsidRPr="00651970">
        <w:rPr>
          <w:b/>
          <w:color w:val="000000"/>
          <w:shd w:val="clear" w:color="auto" w:fill="FFFFFF"/>
        </w:rPr>
        <w:t>y n</w:t>
      </w:r>
      <w:r w:rsidRPr="00651970">
        <w:rPr>
          <w:b/>
          <w:color w:val="000000"/>
          <w:shd w:val="clear" w:color="auto" w:fill="FFFFFF"/>
        </w:rPr>
        <w:t>ghề</w:t>
      </w:r>
      <w:r w:rsidR="00094DC5">
        <w:rPr>
          <w:b/>
          <w:color w:val="000000"/>
          <w:shd w:val="clear" w:color="auto" w:fill="FFFFFF"/>
        </w:rPr>
        <w:t xml:space="preserve"> phổ thông</w:t>
      </w:r>
    </w:p>
    <w:p w:rsidR="00CF50E9" w:rsidRDefault="00CF50E9" w:rsidP="0087302F">
      <w:pPr>
        <w:spacing w:line="288" w:lineRule="auto"/>
        <w:jc w:val="both"/>
        <w:rPr>
          <w:color w:val="000000"/>
          <w:shd w:val="clear" w:color="auto" w:fill="FFFFFF"/>
        </w:rPr>
      </w:pPr>
      <w:r>
        <w:rPr>
          <w:color w:val="000000"/>
          <w:shd w:val="clear" w:color="auto" w:fill="FFFFFF"/>
        </w:rPr>
        <w:tab/>
        <w:t>Tiếp tục tổ chức dạ</w:t>
      </w:r>
      <w:r w:rsidR="004B7DAD">
        <w:rPr>
          <w:color w:val="000000"/>
          <w:shd w:val="clear" w:color="auto" w:fill="FFFFFF"/>
        </w:rPr>
        <w:t>y n</w:t>
      </w:r>
      <w:r>
        <w:rPr>
          <w:color w:val="000000"/>
          <w:shd w:val="clear" w:color="auto" w:fill="FFFFFF"/>
        </w:rPr>
        <w:t xml:space="preserve">ghề </w:t>
      </w:r>
      <w:r w:rsidR="00965B19">
        <w:rPr>
          <w:color w:val="000000"/>
          <w:shd w:val="clear" w:color="auto" w:fill="FFFFFF"/>
        </w:rPr>
        <w:t>phổ</w:t>
      </w:r>
      <w:r w:rsidR="00977453">
        <w:rPr>
          <w:color w:val="000000"/>
          <w:shd w:val="clear" w:color="auto" w:fill="FFFFFF"/>
        </w:rPr>
        <w:t xml:space="preserve"> thông</w:t>
      </w:r>
      <w:r w:rsidR="00977453" w:rsidRPr="00F861DC">
        <w:t xml:space="preserve"> đối với học sinh lớp 8 </w:t>
      </w:r>
      <w:r w:rsidR="00977453">
        <w:t>(7</w:t>
      </w:r>
      <w:r w:rsidR="00977453" w:rsidRPr="00F861DC">
        <w:t>0 tiết</w:t>
      </w:r>
      <w:r w:rsidR="00977453">
        <w:t>/năm học)</w:t>
      </w:r>
      <w:r w:rsidR="00C641A4">
        <w:t>;</w:t>
      </w:r>
      <w:r w:rsidR="00E9705A">
        <w:rPr>
          <w:color w:val="000000"/>
          <w:shd w:val="clear" w:color="auto" w:fill="FFFFFF"/>
        </w:rPr>
        <w:t xml:space="preserve"> nhà trường có thể phối hợp với Trung tâm Giáo dục nghề nghiệp-Giáo dục thường xuyên</w:t>
      </w:r>
      <w:r w:rsidR="00094DC5">
        <w:rPr>
          <w:color w:val="000000"/>
          <w:shd w:val="clear" w:color="auto" w:fill="FFFFFF"/>
        </w:rPr>
        <w:t xml:space="preserve"> quận</w:t>
      </w:r>
      <w:r w:rsidR="00C654F6">
        <w:rPr>
          <w:color w:val="000000"/>
          <w:shd w:val="clear" w:color="auto" w:fill="FFFFFF"/>
        </w:rPr>
        <w:t xml:space="preserve">, các đơn vị đào tạo nghề tại địa </w:t>
      </w:r>
      <w:proofErr w:type="gramStart"/>
      <w:r w:rsidR="00C654F6">
        <w:rPr>
          <w:color w:val="000000"/>
          <w:shd w:val="clear" w:color="auto" w:fill="FFFFFF"/>
        </w:rPr>
        <w:t>phương,…</w:t>
      </w:r>
      <w:proofErr w:type="gramEnd"/>
      <w:r w:rsidR="00E9705A">
        <w:rPr>
          <w:color w:val="000000"/>
          <w:shd w:val="clear" w:color="auto" w:fill="FFFFFF"/>
        </w:rPr>
        <w:t xml:space="preserve"> tổ chức dạy nghề.</w:t>
      </w:r>
    </w:p>
    <w:p w:rsidR="00E9705A" w:rsidRDefault="004B7DAD" w:rsidP="0087302F">
      <w:pPr>
        <w:spacing w:line="288" w:lineRule="auto"/>
        <w:jc w:val="both"/>
        <w:rPr>
          <w:color w:val="000000"/>
          <w:shd w:val="clear" w:color="auto" w:fill="FFFFFF"/>
        </w:rPr>
      </w:pPr>
      <w:r>
        <w:rPr>
          <w:color w:val="000000"/>
          <w:shd w:val="clear" w:color="auto" w:fill="FFFFFF"/>
        </w:rPr>
        <w:tab/>
        <w:t>Xây dựng kế hoạch tổ chức dạy nghề,</w:t>
      </w:r>
      <w:r w:rsidR="00E9705A">
        <w:rPr>
          <w:color w:val="000000"/>
          <w:shd w:val="clear" w:color="auto" w:fill="FFFFFF"/>
        </w:rPr>
        <w:t xml:space="preserve"> đa dạng các môn nghề tạo điều kiện cho học sinh lựa chọn môn nghề phù hợp khả năng và sự yêu thích.</w:t>
      </w:r>
    </w:p>
    <w:p w:rsidR="004B7DAD" w:rsidRDefault="00E9705A" w:rsidP="0087302F">
      <w:pPr>
        <w:spacing w:line="288" w:lineRule="auto"/>
        <w:jc w:val="both"/>
        <w:rPr>
          <w:color w:val="000000"/>
          <w:shd w:val="clear" w:color="auto" w:fill="FFFFFF"/>
        </w:rPr>
      </w:pPr>
      <w:r>
        <w:rPr>
          <w:color w:val="000000"/>
          <w:shd w:val="clear" w:color="auto" w:fill="FFFFFF"/>
        </w:rPr>
        <w:tab/>
        <w:t>T</w:t>
      </w:r>
      <w:r w:rsidR="004B7DAD">
        <w:rPr>
          <w:color w:val="000000"/>
          <w:shd w:val="clear" w:color="auto" w:fill="FFFFFF"/>
        </w:rPr>
        <w:t xml:space="preserve">rang bị đầy đủ cơ </w:t>
      </w:r>
      <w:r>
        <w:rPr>
          <w:color w:val="000000"/>
          <w:shd w:val="clear" w:color="auto" w:fill="FFFFFF"/>
        </w:rPr>
        <w:t>sở</w:t>
      </w:r>
      <w:r w:rsidR="004B7DAD">
        <w:rPr>
          <w:color w:val="000000"/>
          <w:shd w:val="clear" w:color="auto" w:fill="FFFFFF"/>
        </w:rPr>
        <w:t xml:space="preserve"> vật chất đảm bảo công tác tổ chức. </w:t>
      </w:r>
      <w:r w:rsidR="00CF50E9">
        <w:rPr>
          <w:color w:val="000000"/>
          <w:shd w:val="clear" w:color="auto" w:fill="FFFFFF"/>
        </w:rPr>
        <w:tab/>
      </w:r>
    </w:p>
    <w:p w:rsidR="00016C4A" w:rsidRPr="00C641A4" w:rsidRDefault="004B7DAD" w:rsidP="00C641A4">
      <w:pPr>
        <w:spacing w:after="120" w:line="360" w:lineRule="exact"/>
        <w:ind w:firstLine="709"/>
        <w:jc w:val="both"/>
        <w:rPr>
          <w:rFonts w:eastAsia="Times New Roman"/>
        </w:rPr>
      </w:pPr>
      <w:r>
        <w:rPr>
          <w:color w:val="000000"/>
          <w:shd w:val="clear" w:color="auto" w:fill="FFFFFF"/>
        </w:rPr>
        <w:tab/>
      </w:r>
      <w:r w:rsidR="00C641A4" w:rsidRPr="00C641A4">
        <w:rPr>
          <w:rFonts w:eastAsia="Times New Roman"/>
        </w:rPr>
        <w:t xml:space="preserve">Việc đánh giá được thực hiện bằng cho điểm các bài kiểm tra thường xuyên, định kỳ và tính điểm trung bình môn học kỳ, cả năm như môn học khác theo </w:t>
      </w:r>
      <w:r w:rsidR="00094DC5" w:rsidRPr="00C641A4">
        <w:rPr>
          <w:rFonts w:eastAsia="Times New Roman"/>
        </w:rPr>
        <w:t>Thông tư số 58/2011/TT-BGDĐT ngày 12 tháng 12 năm 2011 của Bộ trưởng Bộ Giáo dục và Đào tạo ban hành Quy chế đánh giá, xếp loại học sinh trung học cơ sở v</w:t>
      </w:r>
      <w:r w:rsidR="00094DC5">
        <w:rPr>
          <w:rFonts w:eastAsia="Times New Roman"/>
        </w:rPr>
        <w:t>à học sinh trung học phổ thông</w:t>
      </w:r>
      <w:r w:rsidR="00094DC5">
        <w:rPr>
          <w:rFonts w:eastAsia="Times New Roman"/>
        </w:rPr>
        <w:t xml:space="preserve">; </w:t>
      </w:r>
      <w:r w:rsidR="00C641A4" w:rsidRPr="00C641A4">
        <w:rPr>
          <w:rFonts w:eastAsia="Times New Roman"/>
        </w:rPr>
        <w:t>Thông tư số 26/2020/TT-BGDĐT ngày 26 tháng 8 năm 2020 của Bộ GD&amp;ĐT về sửa đổi, bổ sung một số điều của Quy chế đánh giá, xếp loại học sinh trung học cơ sở và học sinh trung học phổ thông ban hành kèm theo Thông tư số 58/2011/TT-BGDĐT ngày 12 tháng 12 năm 2011 của Bộ trưởng Bộ</w:t>
      </w:r>
      <w:r w:rsidR="00094DC5">
        <w:rPr>
          <w:rFonts w:eastAsia="Times New Roman"/>
        </w:rPr>
        <w:t xml:space="preserve"> Giáo dục và Đào tạo</w:t>
      </w:r>
      <w:r w:rsidR="00C654F6">
        <w:rPr>
          <w:rFonts w:eastAsia="Times New Roman"/>
        </w:rPr>
        <w:t>.</w:t>
      </w:r>
    </w:p>
    <w:p w:rsidR="00CF50E9" w:rsidRPr="00651970" w:rsidRDefault="00CF50E9" w:rsidP="0087302F">
      <w:pPr>
        <w:spacing w:line="288" w:lineRule="auto"/>
        <w:jc w:val="both"/>
        <w:rPr>
          <w:b/>
          <w:color w:val="000000"/>
          <w:shd w:val="clear" w:color="auto" w:fill="FFFFFF"/>
        </w:rPr>
      </w:pPr>
      <w:r>
        <w:rPr>
          <w:color w:val="000000"/>
          <w:shd w:val="clear" w:color="auto" w:fill="FFFFFF"/>
        </w:rPr>
        <w:tab/>
      </w:r>
      <w:r w:rsidRPr="00651970">
        <w:rPr>
          <w:b/>
          <w:color w:val="000000"/>
          <w:shd w:val="clear" w:color="auto" w:fill="FFFFFF"/>
        </w:rPr>
        <w:t xml:space="preserve">2. Tổ chức </w:t>
      </w:r>
      <w:r w:rsidR="00370166">
        <w:rPr>
          <w:b/>
          <w:color w:val="000000"/>
          <w:shd w:val="clear" w:color="auto" w:fill="FFFFFF"/>
        </w:rPr>
        <w:t>giáo dục h</w:t>
      </w:r>
      <w:r w:rsidRPr="00651970">
        <w:rPr>
          <w:b/>
          <w:color w:val="000000"/>
          <w:shd w:val="clear" w:color="auto" w:fill="FFFFFF"/>
        </w:rPr>
        <w:t>ướng nghiệp</w:t>
      </w:r>
    </w:p>
    <w:p w:rsidR="00EB3F84" w:rsidRDefault="00F14AA1" w:rsidP="0087302F">
      <w:pPr>
        <w:spacing w:line="288" w:lineRule="auto"/>
        <w:jc w:val="both"/>
      </w:pPr>
      <w:r>
        <w:rPr>
          <w:color w:val="000000"/>
          <w:shd w:val="clear" w:color="auto" w:fill="FFFFFF"/>
        </w:rPr>
        <w:tab/>
      </w:r>
      <w:r w:rsidR="00094DC5">
        <w:rPr>
          <w:color w:val="000000"/>
          <w:shd w:val="clear" w:color="auto" w:fill="FFFFFF"/>
        </w:rPr>
        <w:t>Xây dựng</w:t>
      </w:r>
      <w:r w:rsidR="0009118B">
        <w:rPr>
          <w:color w:val="000000"/>
          <w:shd w:val="clear" w:color="auto" w:fill="FFFFFF"/>
        </w:rPr>
        <w:t xml:space="preserve"> và thực hiện</w:t>
      </w:r>
      <w:r w:rsidR="00094DC5">
        <w:rPr>
          <w:color w:val="000000"/>
          <w:shd w:val="clear" w:color="auto" w:fill="FFFFFF"/>
        </w:rPr>
        <w:t xml:space="preserve"> kế hoạch giáo dục hướng nghiệp đảm bảo số tiết hướng nghiệm theo quy định tại </w:t>
      </w:r>
      <w:r w:rsidR="00EB3F84">
        <w:t xml:space="preserve">Quyết định số </w:t>
      </w:r>
      <w:r w:rsidR="00EB3F84" w:rsidRPr="00F861DC">
        <w:t>16/QĐ-BGDĐT ngày 05 tháng 5 năm 2006 và các văn bản</w:t>
      </w:r>
      <w:r w:rsidR="00EB3F84">
        <w:t xml:space="preserve"> hướng dẫn hiện hành của Bộ Giáo dục và Đào tạo</w:t>
      </w:r>
      <w:r w:rsidR="00EB3F84" w:rsidRPr="00F861DC">
        <w:t>.</w:t>
      </w:r>
      <w:r w:rsidR="00EB3F84">
        <w:t xml:space="preserve"> </w:t>
      </w:r>
    </w:p>
    <w:p w:rsidR="00016C4A" w:rsidRPr="001B5682" w:rsidRDefault="00F14AA1" w:rsidP="00016C4A">
      <w:pPr>
        <w:spacing w:line="288" w:lineRule="auto"/>
        <w:jc w:val="both"/>
        <w:rPr>
          <w:bCs/>
        </w:rPr>
      </w:pPr>
      <w:r>
        <w:rPr>
          <w:color w:val="000000"/>
          <w:shd w:val="clear" w:color="auto" w:fill="FFFFFF"/>
        </w:rPr>
        <w:tab/>
      </w:r>
      <w:r w:rsidR="00C654F6">
        <w:rPr>
          <w:color w:val="000000"/>
          <w:shd w:val="clear" w:color="auto" w:fill="FFFFFF"/>
        </w:rPr>
        <w:t>Chú trọng đa dạng hình thức tổ chức: p</w:t>
      </w:r>
      <w:r>
        <w:rPr>
          <w:color w:val="000000"/>
          <w:shd w:val="clear" w:color="auto" w:fill="FFFFFF"/>
        </w:rPr>
        <w:t xml:space="preserve">hối hợp </w:t>
      </w:r>
      <w:r w:rsidR="00F966BD">
        <w:rPr>
          <w:color w:val="000000"/>
          <w:shd w:val="clear" w:color="auto" w:fill="FFFFFF"/>
        </w:rPr>
        <w:t xml:space="preserve">với Tạp chí Giáo dục tổ chức Hội thảo tư vấn Hướng nghiệp, phân luồng sau </w:t>
      </w:r>
      <w:r w:rsidR="00370166">
        <w:rPr>
          <w:color w:val="000000"/>
          <w:shd w:val="clear" w:color="auto" w:fill="FFFFFF"/>
        </w:rPr>
        <w:t>trung học cơ sở</w:t>
      </w:r>
      <w:r w:rsidR="00F966BD">
        <w:rPr>
          <w:color w:val="000000"/>
          <w:shd w:val="clear" w:color="auto" w:fill="FFFFFF"/>
        </w:rPr>
        <w:t>;</w:t>
      </w:r>
      <w:r w:rsidR="00E9705A">
        <w:rPr>
          <w:color w:val="000000"/>
          <w:shd w:val="clear" w:color="auto" w:fill="FFFFFF"/>
        </w:rPr>
        <w:t xml:space="preserve"> </w:t>
      </w:r>
      <w:r w:rsidR="00016C4A">
        <w:rPr>
          <w:color w:val="000000"/>
          <w:shd w:val="clear" w:color="auto" w:fill="FFFFFF"/>
        </w:rPr>
        <w:t>t</w:t>
      </w:r>
      <w:r w:rsidR="00016C4A" w:rsidRPr="001B5682">
        <w:rPr>
          <w:bCs/>
        </w:rPr>
        <w:t xml:space="preserve">ổ chức tốt sự phối hợp giữa </w:t>
      </w:r>
      <w:r w:rsidR="00016C4A">
        <w:rPr>
          <w:bCs/>
        </w:rPr>
        <w:t>nhà trường</w:t>
      </w:r>
      <w:r w:rsidR="00016C4A" w:rsidRPr="001B5682">
        <w:rPr>
          <w:bCs/>
        </w:rPr>
        <w:t xml:space="preserve"> với các trường đào tạo nghề, các cơ sở sản xuất, các doanh nghiệp tại địa phương trong công tác phân luồng </w:t>
      </w:r>
      <w:r w:rsidR="00370166">
        <w:rPr>
          <w:bCs/>
        </w:rPr>
        <w:t>học sinh</w:t>
      </w:r>
      <w:r w:rsidR="00016C4A" w:rsidRPr="001B5682">
        <w:rPr>
          <w:bCs/>
        </w:rPr>
        <w:t>; phát huy vai trò hỗ trợ của các đơn vị có năng lực trong tổ chức</w:t>
      </w:r>
      <w:r w:rsidR="00094DC5">
        <w:rPr>
          <w:bCs/>
        </w:rPr>
        <w:t xml:space="preserve"> </w:t>
      </w:r>
      <w:r w:rsidR="00094DC5">
        <w:rPr>
          <w:bCs/>
        </w:rPr>
        <w:t>các chuyên đề</w:t>
      </w:r>
      <w:r w:rsidR="00094DC5">
        <w:rPr>
          <w:bCs/>
        </w:rPr>
        <w:t>,</w:t>
      </w:r>
      <w:r w:rsidR="00016C4A" w:rsidRPr="001B5682">
        <w:rPr>
          <w:bCs/>
        </w:rPr>
        <w:t xml:space="preserve"> hội nghị,</w:t>
      </w:r>
      <w:r w:rsidR="00094DC5">
        <w:rPr>
          <w:bCs/>
        </w:rPr>
        <w:t xml:space="preserve"> </w:t>
      </w:r>
      <w:r w:rsidR="00016C4A" w:rsidRPr="001B5682">
        <w:rPr>
          <w:bCs/>
        </w:rPr>
        <w:t xml:space="preserve">hội thảo </w:t>
      </w:r>
      <w:r w:rsidR="00016C4A" w:rsidRPr="001B5682">
        <w:rPr>
          <w:bCs/>
        </w:rPr>
        <w:lastRenderedPageBreak/>
        <w:t xml:space="preserve">về nội dung hướng </w:t>
      </w:r>
      <w:r w:rsidR="00C654F6">
        <w:rPr>
          <w:bCs/>
        </w:rPr>
        <w:t>nghiệp,</w:t>
      </w:r>
      <w:r w:rsidR="00016C4A" w:rsidRPr="001B5682">
        <w:rPr>
          <w:bCs/>
        </w:rPr>
        <w:t xml:space="preserve"> phân luồng </w:t>
      </w:r>
      <w:r w:rsidR="00370166">
        <w:rPr>
          <w:bCs/>
        </w:rPr>
        <w:t>học sinh</w:t>
      </w:r>
      <w:r w:rsidR="00016C4A" w:rsidRPr="001B5682">
        <w:rPr>
          <w:bCs/>
        </w:rPr>
        <w:t xml:space="preserve"> sau </w:t>
      </w:r>
      <w:r w:rsidR="00370166">
        <w:rPr>
          <w:bCs/>
        </w:rPr>
        <w:t>trung học cơ sở</w:t>
      </w:r>
      <w:r w:rsidR="00016C4A" w:rsidRPr="001B5682">
        <w:rPr>
          <w:bCs/>
        </w:rPr>
        <w:t xml:space="preserve"> cho đối </w:t>
      </w:r>
      <w:r w:rsidR="00094DC5">
        <w:rPr>
          <w:bCs/>
        </w:rPr>
        <w:t>tượng</w:t>
      </w:r>
      <w:r w:rsidR="00016C4A" w:rsidRPr="001B5682">
        <w:rPr>
          <w:bCs/>
        </w:rPr>
        <w:t xml:space="preserve"> </w:t>
      </w:r>
      <w:r w:rsidR="00094DC5">
        <w:rPr>
          <w:bCs/>
        </w:rPr>
        <w:t>học sinh</w:t>
      </w:r>
      <w:r w:rsidR="00016C4A" w:rsidRPr="001B5682">
        <w:rPr>
          <w:bCs/>
        </w:rPr>
        <w:t xml:space="preserve"> lớp 9 và phụ huynh học sinh.</w:t>
      </w:r>
    </w:p>
    <w:p w:rsidR="00425A53" w:rsidRPr="007938F8" w:rsidRDefault="00F14AA1" w:rsidP="0087302F">
      <w:pPr>
        <w:spacing w:line="288" w:lineRule="auto"/>
        <w:jc w:val="both"/>
        <w:rPr>
          <w:color w:val="000000"/>
          <w:shd w:val="clear" w:color="auto" w:fill="FFFFFF"/>
        </w:rPr>
      </w:pPr>
      <w:r>
        <w:rPr>
          <w:color w:val="000000"/>
          <w:shd w:val="clear" w:color="auto" w:fill="FFFFFF"/>
        </w:rPr>
        <w:t xml:space="preserve"> </w:t>
      </w:r>
      <w:r w:rsidR="00425A53">
        <w:rPr>
          <w:color w:val="000000"/>
          <w:shd w:val="clear" w:color="auto" w:fill="FFFFFF"/>
        </w:rPr>
        <w:tab/>
        <w:t>Phòng GDĐT đề nghị hiệu trưởng</w:t>
      </w:r>
      <w:r w:rsidR="00C654F6">
        <w:rPr>
          <w:color w:val="000000"/>
          <w:shd w:val="clear" w:color="auto" w:fill="FFFFFF"/>
        </w:rPr>
        <w:t xml:space="preserve"> nghiêm túc triển khai và thực hiện </w:t>
      </w:r>
      <w:r w:rsidR="00370166">
        <w:rPr>
          <w:color w:val="000000"/>
          <w:shd w:val="clear" w:color="auto" w:fill="FFFFFF"/>
        </w:rPr>
        <w:t xml:space="preserve">hiệu quả </w:t>
      </w:r>
      <w:r w:rsidR="00C654F6">
        <w:rPr>
          <w:color w:val="000000"/>
          <w:shd w:val="clear" w:color="auto" w:fill="FFFFFF"/>
        </w:rPr>
        <w:t>các nội dung hướng dẫn trên</w:t>
      </w:r>
      <w:r w:rsidR="00425A53">
        <w:rPr>
          <w:color w:val="000000"/>
          <w:shd w:val="clear" w:color="auto" w:fill="FFFFFF"/>
        </w:rPr>
        <w:t>./.</w:t>
      </w:r>
    </w:p>
    <w:p w:rsidR="0087302F" w:rsidRPr="00DC6B88" w:rsidRDefault="0087375B" w:rsidP="00425A53">
      <w:pPr>
        <w:spacing w:line="288" w:lineRule="auto"/>
        <w:jc w:val="both"/>
        <w:rPr>
          <w:sz w:val="26"/>
          <w:szCs w:val="26"/>
        </w:rPr>
      </w:pPr>
      <w:r w:rsidRPr="007938F8">
        <w:rPr>
          <w:color w:val="000000"/>
          <w:shd w:val="clear" w:color="auto" w:fill="FFFFFF"/>
        </w:rPr>
        <w:tab/>
      </w:r>
      <w:r w:rsidR="00DC6B88" w:rsidRPr="00DC6B88">
        <w:rPr>
          <w:rFonts w:eastAsia="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87302F" w:rsidRPr="00DC6B88" w:rsidTr="00C12EC6">
        <w:tc>
          <w:tcPr>
            <w:tcW w:w="4522" w:type="dxa"/>
          </w:tcPr>
          <w:p w:rsidR="0087302F" w:rsidRPr="008F5FDF" w:rsidRDefault="0087302F" w:rsidP="00C12EC6">
            <w:pPr>
              <w:shd w:val="clear" w:color="auto" w:fill="FFFFFF"/>
              <w:spacing w:line="300" w:lineRule="atLeast"/>
              <w:jc w:val="both"/>
              <w:textAlignment w:val="baseline"/>
              <w:rPr>
                <w:i/>
                <w:color w:val="000000"/>
                <w:sz w:val="24"/>
                <w:szCs w:val="24"/>
              </w:rPr>
            </w:pPr>
            <w:r w:rsidRPr="008F5FDF">
              <w:rPr>
                <w:b/>
                <w:bCs/>
                <w:i/>
                <w:color w:val="000000"/>
                <w:sz w:val="24"/>
                <w:szCs w:val="24"/>
              </w:rPr>
              <w:t>Nơi nhận:</w:t>
            </w:r>
          </w:p>
          <w:p w:rsidR="0087302F" w:rsidRPr="008F5FDF" w:rsidRDefault="0087302F" w:rsidP="00C12EC6">
            <w:pPr>
              <w:shd w:val="clear" w:color="auto" w:fill="FFFFFF"/>
              <w:spacing w:line="300" w:lineRule="atLeast"/>
              <w:jc w:val="both"/>
              <w:textAlignment w:val="baseline"/>
              <w:rPr>
                <w:iCs/>
                <w:color w:val="000000"/>
                <w:sz w:val="22"/>
                <w:szCs w:val="22"/>
              </w:rPr>
            </w:pPr>
            <w:r w:rsidRPr="008F5FDF">
              <w:rPr>
                <w:iCs/>
                <w:color w:val="000000"/>
                <w:sz w:val="22"/>
                <w:szCs w:val="22"/>
              </w:rPr>
              <w:t>- Như trên (để thực hiện);</w:t>
            </w:r>
          </w:p>
          <w:p w:rsidR="0087302F" w:rsidRPr="008F5FDF" w:rsidRDefault="0087302F" w:rsidP="00C12EC6">
            <w:pPr>
              <w:shd w:val="clear" w:color="auto" w:fill="FFFFFF"/>
              <w:spacing w:line="300" w:lineRule="atLeast"/>
              <w:jc w:val="both"/>
              <w:textAlignment w:val="baseline"/>
              <w:rPr>
                <w:iCs/>
                <w:color w:val="000000"/>
                <w:sz w:val="22"/>
                <w:szCs w:val="22"/>
              </w:rPr>
            </w:pPr>
            <w:r w:rsidRPr="008F5FDF">
              <w:rPr>
                <w:iCs/>
                <w:color w:val="000000"/>
                <w:sz w:val="22"/>
                <w:szCs w:val="22"/>
              </w:rPr>
              <w:t>- Trưởng phòng (để báo cáo);</w:t>
            </w:r>
          </w:p>
          <w:p w:rsidR="0087302F" w:rsidRPr="008F5FDF" w:rsidRDefault="0087302F" w:rsidP="00C12EC6">
            <w:pPr>
              <w:shd w:val="clear" w:color="auto" w:fill="FFFFFF"/>
              <w:spacing w:line="300" w:lineRule="atLeast"/>
              <w:jc w:val="both"/>
              <w:textAlignment w:val="baseline"/>
              <w:rPr>
                <w:color w:val="000000"/>
                <w:sz w:val="22"/>
                <w:szCs w:val="22"/>
              </w:rPr>
            </w:pPr>
            <w:r w:rsidRPr="008F5FDF">
              <w:rPr>
                <w:iCs/>
                <w:color w:val="000000"/>
                <w:sz w:val="22"/>
                <w:szCs w:val="22"/>
              </w:rPr>
              <w:t>- Lưu: VP, Tổ THCS.</w:t>
            </w:r>
          </w:p>
          <w:p w:rsidR="0087302F" w:rsidRPr="00DC6B88" w:rsidRDefault="0087302F" w:rsidP="00C12EC6">
            <w:pPr>
              <w:spacing w:line="300" w:lineRule="atLeast"/>
              <w:jc w:val="both"/>
              <w:textAlignment w:val="baseline"/>
              <w:rPr>
                <w:color w:val="000000"/>
                <w:sz w:val="26"/>
                <w:szCs w:val="26"/>
              </w:rPr>
            </w:pPr>
          </w:p>
        </w:tc>
        <w:tc>
          <w:tcPr>
            <w:tcW w:w="4550" w:type="dxa"/>
          </w:tcPr>
          <w:p w:rsidR="0087302F" w:rsidRPr="00DC6B88" w:rsidRDefault="0087302F" w:rsidP="00C12EC6">
            <w:pPr>
              <w:shd w:val="clear" w:color="auto" w:fill="FFFFFF"/>
              <w:tabs>
                <w:tab w:val="center" w:pos="7371"/>
              </w:tabs>
              <w:spacing w:line="300" w:lineRule="atLeast"/>
              <w:jc w:val="center"/>
              <w:textAlignment w:val="baseline"/>
              <w:rPr>
                <w:b/>
                <w:bCs/>
                <w:color w:val="000000"/>
                <w:sz w:val="26"/>
                <w:szCs w:val="26"/>
              </w:rPr>
            </w:pPr>
            <w:proofErr w:type="gramStart"/>
            <w:r w:rsidRPr="00DC6B88">
              <w:rPr>
                <w:b/>
                <w:bCs/>
                <w:color w:val="000000"/>
                <w:sz w:val="26"/>
                <w:szCs w:val="26"/>
              </w:rPr>
              <w:t>KT.TRƯỞNG</w:t>
            </w:r>
            <w:proofErr w:type="gramEnd"/>
            <w:r w:rsidRPr="00DC6B88">
              <w:rPr>
                <w:b/>
                <w:bCs/>
                <w:color w:val="000000"/>
                <w:sz w:val="26"/>
                <w:szCs w:val="26"/>
              </w:rPr>
              <w:t xml:space="preserve"> PHÒNG</w:t>
            </w:r>
          </w:p>
          <w:p w:rsidR="0087302F" w:rsidRPr="00DC6B88" w:rsidRDefault="0087302F" w:rsidP="00C12EC6">
            <w:pPr>
              <w:shd w:val="clear" w:color="auto" w:fill="FFFFFF"/>
              <w:tabs>
                <w:tab w:val="center" w:pos="7371"/>
              </w:tabs>
              <w:spacing w:line="300" w:lineRule="atLeast"/>
              <w:jc w:val="center"/>
              <w:textAlignment w:val="baseline"/>
              <w:rPr>
                <w:b/>
                <w:bCs/>
                <w:color w:val="000000"/>
                <w:sz w:val="26"/>
                <w:szCs w:val="26"/>
              </w:rPr>
            </w:pPr>
            <w:r w:rsidRPr="00DC6B88">
              <w:rPr>
                <w:b/>
                <w:bCs/>
                <w:color w:val="000000"/>
                <w:sz w:val="26"/>
                <w:szCs w:val="26"/>
              </w:rPr>
              <w:t>PHÓ TRƯỞNG PHÒNG</w:t>
            </w:r>
          </w:p>
          <w:p w:rsidR="0087302F" w:rsidRPr="00DC6B88" w:rsidRDefault="0087302F" w:rsidP="00C12EC6">
            <w:pPr>
              <w:shd w:val="clear" w:color="auto" w:fill="FFFFFF"/>
              <w:tabs>
                <w:tab w:val="center" w:pos="5880"/>
              </w:tabs>
              <w:spacing w:line="300" w:lineRule="atLeast"/>
              <w:jc w:val="center"/>
              <w:textAlignment w:val="baseline"/>
              <w:rPr>
                <w:bCs/>
                <w:i/>
                <w:color w:val="000000"/>
                <w:sz w:val="26"/>
                <w:szCs w:val="26"/>
              </w:rPr>
            </w:pPr>
            <w:bookmarkStart w:id="0" w:name="_GoBack"/>
            <w:bookmarkEnd w:id="0"/>
          </w:p>
          <w:p w:rsidR="0087302F" w:rsidRPr="00DC6B88" w:rsidRDefault="0087302F" w:rsidP="00C12EC6">
            <w:pPr>
              <w:shd w:val="clear" w:color="auto" w:fill="FFFFFF"/>
              <w:tabs>
                <w:tab w:val="center" w:pos="5880"/>
              </w:tabs>
              <w:spacing w:line="300" w:lineRule="atLeast"/>
              <w:jc w:val="center"/>
              <w:textAlignment w:val="baseline"/>
              <w:rPr>
                <w:b/>
                <w:bCs/>
                <w:color w:val="000000"/>
                <w:sz w:val="26"/>
                <w:szCs w:val="26"/>
              </w:rPr>
            </w:pPr>
          </w:p>
          <w:p w:rsidR="0087302F" w:rsidRPr="000A2971" w:rsidRDefault="000A2971" w:rsidP="00C12EC6">
            <w:pPr>
              <w:shd w:val="clear" w:color="auto" w:fill="FFFFFF"/>
              <w:tabs>
                <w:tab w:val="center" w:pos="5880"/>
              </w:tabs>
              <w:spacing w:line="300" w:lineRule="atLeast"/>
              <w:jc w:val="center"/>
              <w:textAlignment w:val="baseline"/>
              <w:rPr>
                <w:bCs/>
                <w:i/>
                <w:color w:val="000000"/>
                <w:sz w:val="26"/>
                <w:szCs w:val="26"/>
              </w:rPr>
            </w:pPr>
            <w:r w:rsidRPr="000A2971">
              <w:rPr>
                <w:bCs/>
                <w:i/>
                <w:color w:val="000000"/>
                <w:sz w:val="26"/>
                <w:szCs w:val="26"/>
              </w:rPr>
              <w:t>(đã ký)</w:t>
            </w:r>
          </w:p>
          <w:p w:rsidR="0087302F" w:rsidRPr="00DC6B88" w:rsidRDefault="0087302F" w:rsidP="00C12EC6">
            <w:pPr>
              <w:shd w:val="clear" w:color="auto" w:fill="FFFFFF"/>
              <w:tabs>
                <w:tab w:val="center" w:pos="5880"/>
              </w:tabs>
              <w:spacing w:line="300" w:lineRule="atLeast"/>
              <w:jc w:val="center"/>
              <w:textAlignment w:val="baseline"/>
              <w:rPr>
                <w:b/>
                <w:bCs/>
                <w:color w:val="000000"/>
                <w:sz w:val="26"/>
                <w:szCs w:val="26"/>
              </w:rPr>
            </w:pPr>
          </w:p>
          <w:p w:rsidR="0087302F" w:rsidRPr="00DC6B88" w:rsidRDefault="0087302F" w:rsidP="00C12EC6">
            <w:pPr>
              <w:shd w:val="clear" w:color="auto" w:fill="FFFFFF"/>
              <w:tabs>
                <w:tab w:val="center" w:pos="5880"/>
              </w:tabs>
              <w:spacing w:line="300" w:lineRule="atLeast"/>
              <w:jc w:val="center"/>
              <w:textAlignment w:val="baseline"/>
              <w:rPr>
                <w:b/>
                <w:bCs/>
                <w:color w:val="000000"/>
                <w:sz w:val="26"/>
                <w:szCs w:val="26"/>
              </w:rPr>
            </w:pPr>
          </w:p>
          <w:p w:rsidR="0087302F" w:rsidRPr="00DC6B88" w:rsidRDefault="0087302F" w:rsidP="00C12EC6">
            <w:pPr>
              <w:jc w:val="center"/>
              <w:rPr>
                <w:sz w:val="26"/>
                <w:szCs w:val="26"/>
              </w:rPr>
            </w:pPr>
            <w:r w:rsidRPr="00DC6B88">
              <w:rPr>
                <w:b/>
                <w:bCs/>
                <w:color w:val="000000"/>
                <w:sz w:val="26"/>
                <w:szCs w:val="26"/>
              </w:rPr>
              <w:t>Trần Tiểu Quỳnh</w:t>
            </w:r>
          </w:p>
          <w:p w:rsidR="0087302F" w:rsidRPr="00DC6B88" w:rsidRDefault="0087302F" w:rsidP="00C12EC6">
            <w:pPr>
              <w:spacing w:line="300" w:lineRule="atLeast"/>
              <w:jc w:val="center"/>
              <w:textAlignment w:val="baseline"/>
              <w:rPr>
                <w:color w:val="000000"/>
                <w:sz w:val="26"/>
                <w:szCs w:val="26"/>
              </w:rPr>
            </w:pPr>
          </w:p>
        </w:tc>
      </w:tr>
    </w:tbl>
    <w:p w:rsidR="0087302F" w:rsidRPr="00DC6B88" w:rsidRDefault="0087302F" w:rsidP="0087302F">
      <w:pPr>
        <w:jc w:val="both"/>
        <w:rPr>
          <w:sz w:val="26"/>
          <w:szCs w:val="26"/>
        </w:rPr>
      </w:pPr>
    </w:p>
    <w:p w:rsidR="00E55C88" w:rsidRPr="00DC6B88" w:rsidRDefault="00E55C88">
      <w:pPr>
        <w:rPr>
          <w:sz w:val="26"/>
          <w:szCs w:val="26"/>
        </w:rPr>
      </w:pPr>
    </w:p>
    <w:sectPr w:rsidR="00E55C88" w:rsidRPr="00DC6B88" w:rsidSect="00C12EC6">
      <w:pgSz w:w="11907" w:h="16839" w:code="9"/>
      <w:pgMar w:top="1134" w:right="1134" w:bottom="1134" w:left="1701"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43F"/>
    <w:multiLevelType w:val="multilevel"/>
    <w:tmpl w:val="05CEF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1B480D"/>
    <w:multiLevelType w:val="multilevel"/>
    <w:tmpl w:val="B9B29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2F"/>
    <w:rsid w:val="00016C4A"/>
    <w:rsid w:val="000228EA"/>
    <w:rsid w:val="00085660"/>
    <w:rsid w:val="0009118B"/>
    <w:rsid w:val="00094DC5"/>
    <w:rsid w:val="000A2971"/>
    <w:rsid w:val="00230241"/>
    <w:rsid w:val="002825FF"/>
    <w:rsid w:val="00370166"/>
    <w:rsid w:val="003E6C10"/>
    <w:rsid w:val="00425A53"/>
    <w:rsid w:val="004B7DAD"/>
    <w:rsid w:val="00651970"/>
    <w:rsid w:val="007938F8"/>
    <w:rsid w:val="0087302F"/>
    <w:rsid w:val="0087375B"/>
    <w:rsid w:val="008F5FDF"/>
    <w:rsid w:val="00965B19"/>
    <w:rsid w:val="00977453"/>
    <w:rsid w:val="00A16B9C"/>
    <w:rsid w:val="00C12EC6"/>
    <w:rsid w:val="00C641A4"/>
    <w:rsid w:val="00C654F6"/>
    <w:rsid w:val="00CA2161"/>
    <w:rsid w:val="00CD17B1"/>
    <w:rsid w:val="00CF50E9"/>
    <w:rsid w:val="00D605D6"/>
    <w:rsid w:val="00D75DD4"/>
    <w:rsid w:val="00DC6B88"/>
    <w:rsid w:val="00E55C88"/>
    <w:rsid w:val="00E9705A"/>
    <w:rsid w:val="00EB3F84"/>
    <w:rsid w:val="00F00B70"/>
    <w:rsid w:val="00F14AA1"/>
    <w:rsid w:val="00F52040"/>
    <w:rsid w:val="00F9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6FBD"/>
  <w15:chartTrackingRefBased/>
  <w15:docId w15:val="{D9562E0E-EA23-4E08-BF58-7B576D44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2F"/>
    <w:pPr>
      <w:spacing w:after="0" w:line="240" w:lineRule="auto"/>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2F"/>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3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kimngoc pgd</cp:lastModifiedBy>
  <cp:revision>3</cp:revision>
  <cp:lastPrinted>2022-09-20T08:03:00Z</cp:lastPrinted>
  <dcterms:created xsi:type="dcterms:W3CDTF">2022-09-19T00:58:00Z</dcterms:created>
  <dcterms:modified xsi:type="dcterms:W3CDTF">2022-09-20T08:56:00Z</dcterms:modified>
</cp:coreProperties>
</file>